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2009/34 vom 3. Dezember 2009</w:t>
      </w:r>
    </w:p>
    <w:p>
      <w:r>
        <w:t>Sg Verwaltungsgericht, 2009-12-03, DE</w:t>
      </w:r>
    </w:p>
    <w:p>
      <w:r>
        <w:rPr>
          <w:b/>
        </w:rPr>
        <w:t xml:space="preserve">Quelle: </w:t>
      </w:r>
      <w:r>
        <w:t>https://mcp.opencaselaw.ch/entscheid/sg_publikationen_B 2009_34</w:t>
      </w:r>
    </w:p>
    <w:p>
      <w:r>
        <w:t>FR: SG_VERWALTUNGSGERICHT B 2009/34 du 3 décembre 2009</w:t>
      </w:r>
    </w:p>
    <w:p>
      <w:r>
        <w:t>IT: SG_VERWALTUNGSGERICHT B 2009/34 del 3 dicembre 2009</w:t>
      </w:r>
    </w:p>
    <w:p>
      <w:pPr>
        <w:pStyle w:val="Heading2"/>
      </w:pPr>
      <w:r>
        <w:t>Regeste</w:t>
      </w:r>
    </w:p>
    <w:p>
      <w:r>
        <w:t>Baurecht, Zonenkonformität (Art. 17 Abs. 2 BauG). Wird ein Wohnhaus direkt an der Grenze zu einer Grünzone gebaut und kommt die Gartenanlage in die Grünzone zu liegen, so erweist sich diese Nutzung als zonenwidrig (Verwaltungsgericht, B 2009/34).</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im Grundsatz zur Beschwerde legitimiert (Art. 64 Abs. 1 in Verbindung mit Art. 45 Abs. 1 VRP). Die Beschwerdeeingaben vom 11. März und 2. April 2009 entsprechen zeitlich, formal und inhaltlich den gesetzlichen Anforderungen (Art. 64 Abs. 1 in Verbindung mit Art. 47 Abs. 1 und Art. 48 Abs. 1 und 2 VRP). Auf die Beschwerden ist im Grundsatz einzutreten.</w:t>
      </w:r>
    </w:p>
    <w:p>
      <w:r>
        <w:rPr>
          <w:b/>
        </w:rPr>
        <w:t>E. 1.1</w:t>
      </w:r>
    </w:p>
    <w:p>
      <w:r>
        <w:t>Die Vorinstanz behandelte die Rekurse von A. einerseits sowie von B. anderseits in gesonderten Entscheiden. Ihre Beschwerde haben die Rekurrenten gemeinsam eingereicht. Da materiell dieselben Rechtsfragen streitig sind, sind die Beschwerden gemeinsam zu behandeln.</w:t>
      </w:r>
    </w:p>
    <w:p>
      <w:r>
        <w:rPr>
          <w:b/>
        </w:rPr>
        <w:t>E. 1.2</w:t>
      </w:r>
    </w:p>
    <w:p>
      <w:r>
        <w:t>Zu prüfen ist zunächst die Legitimation der Beschwerdeführer für die vorgebrachten Rügen. Nach Art. 83 Abs. 2 des Baugesetzes (sGS 731.1, abgekürzt BauG) ist zur Einsprache gegen ein Baugesuch befugt, wer ein eigenes schutzwürdiges Interesse dartut. Die Legitimation richtet sich nach denselben Grundsätzen, wie sie für die Berechtigung zum Rekurs in Art. 45 Abs. 1 VRP umschrieben sind. Die Beschwerdebefugnis des Nachbarn wird bejaht, wenn räumlich eine enge Beziehung zum Baugrundstück gegeben ist und der Nachbar durch die umstrittene Baute oder Anlage unmittelbar und in höherem Masse als die Allgemeinheit in eigenen Interessen beeinträchtigt wird (GVP 1977 Nr. 23 und 1996 Nr. 59).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(Cavelti/Vögeli, Verwaltungsgerichtsbarkeit im Kanton St. Gallen, St. Gallen 2003, Rz. 391 mit Hinweisen auf Rechtsprechung und Literatur). Dabei muss der Einsprecher im einzelnen dartun, inwieweit die allfällige Erteilung der Baubewilligung konkrete eigene rechtliche oder tatsächliche Interessen intensiver beeinträchtigt als die Interessen irgendwelcher Dritter. Für jede Rechtsbehauptung muss somit das Rechtsschutzinteresse vorliegen (vgl. auch B. Heer, St. Gallisches Bau- und Planungsrecht, Bern 2003, Rz. 934 mit weiteren Hinweisen; VerwGE B 2008/143, 149 vom 14. Mai 2009 und B 2008/120 vom 22. Januar 2009, in: www.gerichte.sg.ch).</w:t>
      </w:r>
    </w:p>
    <w:p>
      <w:r>
        <w:rPr>
          <w:b/>
        </w:rPr>
        <w:t>E. 1.2.1</w:t>
      </w:r>
    </w:p>
    <w:p>
      <w:r>
        <w:t>Die Beschwerdegegner machen geltend, soweit die Beschwerdeführer unzulässige Gartennutzungen in der Grünzone und eine Verletzung des Grenzabstands gegenüber dem Grundstück Nr. XXXX sowie eine mangelnde rechtliche Sicherstellung der Zufahrt zum Baugrundstück rügten, mangle es ihnen an einer qualifizierten persönlichen Betroffenheit. Die Beschwerdeführer seien hinsichtlich dieser Gründe nicht mehr berührt als Dritte oder die Allgemeinheit. Was sie vorbringen würden, laufe auf eine unzulässige Popularbeschwerde hinaus. Mit Rekurs und Beschwerde könnten nicht allgemeine öffentliche Interessen verfolgt werden. Gerade dies täten die Beschwerdeführer. Die Rügen zur allfälligen Nutzung einer Teilfläche der Parzelle Nr. XXXX und die geltend gemachte Verletzung des Grenzabstands sowie die angeblich fehlende rechtliche Sicherstellung der Zufahrt würden allgemein die Bevölkerung der Politischen Gemeinde und die Besucherinnen und Besucher des .. betreffen. Warum die Beschwerdeführer bezüglich dieser Punkte des Baugesuchs mehr tangiert sein sollten als Dritte oder die Allgemeinheit, täten sie nicht dar und sei auch nicht ersichtlich.</w:t>
      </w:r>
    </w:p>
    <w:p>
      <w:r>
        <w:rPr>
          <w:b/>
        </w:rPr>
        <w:t>E. 1.2.2</w:t>
      </w:r>
    </w:p>
    <w:p>
      <w:r>
        <w:t>Die Beschwerdeführer machen geltend, sie stünden als Eigentümer der benachbarten Grundstücke Nrn. .. und .. in einer räumlich engen nachbarlichen Beziehung zum Bauvorhaben. Durch die Erstellung des neuen Einfamilienhauses und des Garageanbaus seien sie ohne Zweifel unmittelbar und in höherem Ausmass als irgend jemand oder die Allgemeinheit in eigenen Interessen beeinträchtigt. Dies gelte insbesondere auch hinsichtlich der privaten Nutzungen in der Grünzone und der Einhaltung der Grenzabstände. Diese Rügen würden unmittelbar mit der Erstellung der betreffenden Bauten zusammenhängen. Den Baugesuchstellern sei gestützt auf eine Vereinbarung nach Art. 56 Abs. 2 Satz 2 BauG gestattet worden, den gesetzlichen bzw. reglementarischen Grenzabstand gegenüber der Parzelle Nr. XXXX zu unterschreiten bzw. überhaupt keinen solchen mehr einzuhalten. Dabei handle es sich um eine Ausnahmeregelung zum grundsätzlich gültigen Grenzabstand nach Art. 13 Abs. 1 und Art. 29 des Baureglements (abgekürzt: BR). Die Situation sei daher vergleichbar mit einem Vorhaben, welches gestützt auf Art. 77bis BauG bewilligt werde und bei dem die Rügen des Nachbarn auch hinsichtlich des Grenzabstands gegenüber einem nicht unmittelbar dem Nachbarn gehörenden Grundstück zulässig seien. Der vorliegende Fall könne auch nicht mit dem allgemeinen Fall einer Grenzabstandsvereinbarung verglichen werden. Bei einer solchen werde einfach der Freiraum, der sich aus der Summe der beiden Grenzabstände ergebe, etwas verschoben. Im Streitfall werde der Freiraum durch die Mehrnutzung auf dem Grundstück Nr. 0000 aber deutlich verringert. Es gehe nicht nur um die Rüge einer einfachen Verletzung des Grenzabstandes, sondern um Einwände gegen die massiv erweiterte Nutzung des Grundstücks Nr. 0000. Diese betreffe die Beschwerdeführer offensichtlich in höherem Masse als die Allgemeinheit, weshalb das Rechtsschutzinteresse zu bejahen sei. Bei den Gartennutzungen und der rechtlichen Absicherung der Zufahrt sowie bei der ungleichen Verlegung des Grenzabstandes bestehe räumlich eine enge Beziehung zum Grundstück der Beschwerdeführer. Eine nachbarschützende Funktion der angerufenen Bestimmungen sei nicht mehr verlangt. Die Beschwerdeführer seien offensichtlich in höherem Masse als die Allgemeinheit betroffen und somit zu den von ihnen erhobenen Rügen legitimiert.</w:t>
      </w:r>
    </w:p>
    <w:p>
      <w:r>
        <w:rPr>
          <w:b/>
        </w:rPr>
        <w:t>E. 1.2.3</w:t>
      </w:r>
    </w:p>
    <w:p>
      <w:r>
        <w:t>Die Grundstücke der Beschwerdeführer grenzen unmittelbar westlich an das Baugrundstück an. Das Bauvorhaben hält die gesetzlichen bzw. reglementarischen Bauvorschriften im Bereich des Grenzabstands sowohl gegen Süden als auch gegen Osten nicht ein. Damit ist der vorliegende Sachverhalt gleich zu behandeln wie jener, bei dem gestützt auf Art. 77 BauG für ein benachbartes Gebäude eine Ausnahmebewilligung erteilt wird (vgl. GVP 1998 Nr. 27). Die Unterschreitung des reglementarischen Grenzabstands und die unmittelbare Situierung des Gebäudes an der Grenze zur Grünzone sind im vorliegenden Fall zudem wesentliche Voraussetzungen, um das Grundstück Nr. 0000 überhaupt mit einem zweiten Einfamilienhaus überbauen zu können. Bei dieser Sachlage sind die Beschwerdeführer legitimiert, die Unterschreitung des Grenzabstands bzw. eine unzulässige Nutzung der Grünzone zu rügen, da sie damit eigene Interessen, nämlich ihr Interesse an der Freihaltung jenes Grundstückteils, durchsetzen können. Auch die Rüge der ungenügenden Sicherstellung der Zufahrt ist zuzulassen. Die hinreichende Zufahrt ist Teil der genügenden Erschliessung und damit unabdingbare Voraussetzung für die Erteilung einer Baubewilligung. Dringen die Beschwerdeführer mit ihrer Rüge durch, können sie ihr Interesse an der Freihaltung des Grundstückteils ebenfalls durchsetzen. Auch insoweit sind sie mehr als irgendwelche Drittpersonen bzw. die Allgemeinheit betroffen. Ob die Legitimation nur für die Eigentümer des Grundstücks Nr. .. oder aber auch für den Eigentümer des Grundstücks Nr. .. gegeben ist, kann im vorliegenden Fall offen bleiben, da sie aufgrund der Lage jedenfalls für die Eigentümer des Grundstücks Nr. .. gegeben ist. Auf die Rügen der unzulässigen Nutzung der Grünzone als Gartenanlage, der ungenügenden Zufahrt, des ungenügenden Grenzabstands, der fehlenden Visierung der Anbaute am bestehenden Haus sowie des unzulässigen Garagenanbaus am bestehenden Haus ist daher einzutreten.</w:t>
      </w:r>
    </w:p>
    <w:p>
      <w:r>
        <w:rPr>
          <w:b/>
        </w:rPr>
        <w:t>E. 2</w:t>
      </w:r>
    </w:p>
    <w:p>
      <w:r>
        <w:t>bezahlt werden. Ursprünglich war vorgesehen, dass die Gemeinde eine Teilfläche des Grundstücks Nr. XXXX den Beschwerdegegnern verkauft. Nachdem diese Absicht auf Widerstand gestossen war, wurde ein Dienstbarkeitsvertrag ins Auge gefasst. Beide Vereinbarungen bezwecken aber dasselbe, nämlich die exklusive Nutzung eines Teils des in der Grünzone gelegenen Grundstücks Nr. XXXX durch die Eigentümer bzw. Bewohner des zu erstellenden Hauses. Diesen soll denn auch gemäss dem Grunddienstbarkeitsvertrag (Ziff. 1) das ausschliessliche Benützungsrecht an der Umgebungsanlage auf dem Grundstück Nr. XXXX erteilt werden. Zudem wurde im Dienstbarkeitsvertrag festgehalten, dass die besagte Fläche der Erhaltung und Schaffung von Sport-, Park- und Erholungsanlagen gemäss Art. 17 Abs. 1 lit. b BauG diene (Ziff. 3). Damit wurde der fragliche Teil der Grünzone einer Zweckbestimmung zugeführt, ohne diese im Zonenplan zu bezeichnen, wie es in Art. 17 Abs. 2 BauG vorgeschrieben ist. Es fragt sich daher, ob damit nicht eine planerisch relevante Massnahme angeordnet wurde. Die Zweckbestimmung einer Grünzone für einen bestimmten Zweck ist im Verfahren der Nutzungsplanung festzulegen. Wenn ein Teil der Grünzone der Schaffung von Sport-, Park- und Erholungsanlagen dient, sind darauf auch entsprechende Bauten möglich. Dadurch wird auch eine Nutzung als Gartenanlage ermöglicht. Der Dienstbarkeitsvertrag bezweckt, den Eigentümern bzw. Bewohnern des geplanten Hauses die Nutzung eines Teils des in der Grünzone gelegenen Grundstücks für Wohnzwecke im weiteren Sinn, nämlich die Erstellung einer Gartenanlage, zu ermöglichen. Nach der Rechtsprechung des Verwaltungsgerichts ist es nicht zulässig, Nebenanlagen eines in der Gewerbe-Industrie-Zone stehenden Betriebes, welche an sich in der Wohnzone zonenkonform wären, in eine angrenzende Wohnzone auszulagern. Im konkreten Fall ging es um die Frage, ob Parkplätze für einen Industriebetrieb in der Wohnzone zugelassen werden können. Das Verwaltungsgericht lehnte dies ab und hielt fest, die Parkplätze seien nicht selbständig zu beurteilen, sondern im Zusammenhang mit dem Betrieb, dem sie zugeordnet seien und der in der Wohnzone nicht zugelassen wäre (GVP 2000 Nr. 17). Im vorliegenden Fall verhält es sich ähnlich. In der Grünzone soll ein Bereich ausgeschieden werden, der den Bewohnern des angrenzenden Gebäudes als Gartenanlage dient und zur alleinigen Benützung zugeschieden ist. Er ist damit funktioneller Bestandteil des Einfamilienhauses. Dies bedeutet nicht, dass die gesamte Gartenanlage einer Wohnliegenschaft zwingend in der Bauzone liegen muss. Im Streitfall ist aber eine Gartennutzung inkl. der Möglichkeit zur Erstellung von Bauten vorgesehen, die in der Grünzone nicht zulässig ist. Zusammenfassend ergibt sich aus den vorstehenden Erwägungen, dass das Bauvorhaben eine unzulässige Nutzung der Grünzone umfasst und daher gegen die Nutzungsordnung verstösst.</w:t>
      </w:r>
    </w:p>
    <w:p>
      <w:r>
        <w:rPr>
          <w:b/>
        </w:rPr>
        <w:t>E. 2.1</w:t>
      </w:r>
    </w:p>
    <w:p>
      <w:r>
        <w:t>Nach Art. 17 Abs. 1 BauG umfassen Grünzonen Gebiete, die nicht überbaut werden dürfen. Sie dienen der Freihaltung von Flächen vor Überbauung, insbesondere zwecks Gliederung des Siedlungsgebietes (lit. a); der Erhaltung und Schaffung von Sport-, Park- und Erholungsanlagen (lit. b); der Erhaltung von Schutzgegenständen nach Art. 98 BauG (lit. c) sowie der Sicherung von Grundwasserschutzzonen oder Grundwasserschutzarealen. Im Zonenplan wird der Zweck der jeweiligen Grünzone bezeichnet (Art. 17 Abs. 2 BauG). Oberirdische Bauten und Anlagen sind zulässig, soweit der Zweck der Zone sie erfordert, unterirdische in den Fällen von Art. 17 Abs. 1 lit. a und b, wenn der Zweck der Zone nicht beeinträchtigt wird (Art. 17 Abs. 3 BauG). Eingriffe in das Gelände und in den Naturhaushalt sind nicht zulässig, wenn sie den Zweck der Zone beeinträchtigen (Art. 17 Abs. 4 BauG). Die Grünzone ist somit an sich keine Bauzone, dennoch ist nicht jede Bautätigkeit ausgeschlossen (B. Heer, St. Gallisches Bau- und Planungsrecht, Bern 2003, Rz. 383).</w:t>
      </w:r>
    </w:p>
    <w:p>
      <w:r>
        <w:rPr>
          <w:b/>
        </w:rPr>
        <w:t>E. 2.2</w:t>
      </w:r>
    </w:p>
    <w:p>
      <w:r>
        <w:t>Am 22. September 2005 wurde der Nachtrag 2 zum Baureglement vom 25. November 1992 erlassen. In Art. 6 wurde neu eine besondere Grünzone Schrebergärten (Bauzone) statuiert. Daneben wurde eine Grünzone ohne besondere Bezeichnung ausgeschieden. Eine besondere Zweckbestimmung hat somit die vorliegend streitige Grünzone nicht. Daraus folgt, dass sie grundsätzlich nicht überbaut werden darf (Art. 17 Abs. 1 BauG). Dies entspricht offensichtlich deren Sinn und Zweck, da das fragliche Gebiet die unmittelbare Umgebung des Stadtweihers freihalten will.</w:t>
      </w:r>
    </w:p>
    <w:p>
      <w:r>
        <w:rPr>
          <w:b/>
        </w:rPr>
        <w:t>E. 2.3</w:t>
      </w:r>
    </w:p>
    <w:p>
      <w:r>
        <w:t>Die Vorinstanz ging davon aus, dass das Bauprojekt auf dem Grundstück Nr. 0000 realisiert werden solle und in der Grünzone demnach keine baubewilligungspflichtigen Massnahmen vorgesehen seien. Erwähnenswert sei der Umgebungsplan, welcher in bezug auf die Grünzone den Hinweis enthalte, dass in der Grünzone keine Veränderungen vorgesehen seien. Auch aus dem Projektplan "Ansichten" sei ersichtlich, dass in der Grünzone keine baulichen Massnahmen vorgesehen seien. Die Gesuchsteller hätten dies anlässlich des Augenscheins bestätigt und explizit ausgeführt, die Grünzone werde durch das Bauvorhaben nicht beansprucht. Der Einwand der Rekurrenten, das Baugesuch könne nicht beurteilt werden, bevor eine rechtskräftige Grünzonenausscheidung erfolgt sei, erweise sich vor dem Hintergrund, dass die Grünzone für die Realisierung des Bauvorhabens gemäss den definitiven Baugesuchsunterlagen nicht beansprucht werde, als unbegründet. Auch die Behauptung, die Grünzone werde durch das Bauvorhaben beansprucht, erweise sich unter Bezugnahme auf die definitiven Baupläne als nicht gerechtfertigt.</w:t>
      </w:r>
    </w:p>
    <w:p>
      <w:r>
        <w:rPr>
          <w:b/>
        </w:rPr>
        <w:t>E. 2.4</w:t>
      </w:r>
    </w:p>
    <w:p>
      <w:r>
        <w:t>Die Beschwerdegegner und die Gemeinde (Eigentümerin des Grünstücks in der Grünzone) haben am 29. Juni 2006 einen Vorvertrag über den Erwerb von 153 m</w:t>
      </w:r>
    </w:p>
    <w:p>
      <w:r>
        <w:rPr>
          <w:b/>
        </w:rPr>
        <w:t>E. 2.5</w:t>
      </w:r>
    </w:p>
    <w:p>
      <w:r>
        <w:t>Die Beschwerdebeteiligte verpflichtete sich mit Vereinbarung vom 4./21.Juni 2007 zur Einhaltung eines erweiterten Grenzabstands auf dem Grundstück Nr. XXXX. Die Vorinstanz erblickte darin kein unzulässiges Vorgehen. Es gehe im vorliegenden Fall um die ungleiche Verteilung der Grenzabstände zwischen zwei Parzellen, die in Zonen unterschiedlicher Nutzungsart lägen. Weil die Nutzungsdichte in der Gemeinde durch die Ausnützungsziffer festgelegt werde, habe die Vereinbarung gegenüber der Bauordnung keine erhöhte bauliche Nutzung des Grundstücks Nr. 0000 zur Folge. Die in der Bundesgerichtspraxis zum interzonalen Nutzungstransfer verpönte Situation einer unzulässigen Nutzungserhöhung könne hier nicht eintreten. Demgegenüber machen die Beschwerdeführer geltend, die Praxis zum interzonalen Nutzungstransfer sei mutatis mutandis im Streitfall heranzuziehen. Das Bundesgericht hat es als zulässig erachtet, den Nutzungstransfer in eine Zone mit geringerer Ausnützung zu verbieten (BGE 119 Ia 113 ff.). Es erwog, wenn die Unterschreitung des Grenzabstands eine Erhöhung des zulässigen Bauvolumens auf der berechtigten Parzelle bewirke, sei dies raumplanerisch dann nicht von besonderer Bedeutung, wenn auf der Nachbarparzelle eine entsprechende Mindernutzung in Kauf genommen werden müsse und die gleiche Nutzungsart betroffen sei. Innerhalb derselben Nutzungszone oder gegenüber einer gleichartigen Zone mit grösseren Ausnützungsmöglichkeiten sei diese Voraussetzung erfüllt. Anders verhalte es sich zunächst bei Nachbarzonen mit geringeren Ausnützungsmöglichkeiten. Werde beispielsweise der Grenzabstand einer Parzelle in einer dreigeschossigen Wohnzone zulasten einer Parzelle in einer eingeschossigen Wohnzone um mehrere Meter verkürzt, entstehe gesamthaft eine erhebliche Mehrnutzung, welche in der Zonenordnung nicht vorgesehen sei. Im vorliegenden Fall verhält es sich anders. Nach der Praxis des Bundesgerichts kann durch eine Grenzabstandsverschiebung gegenüber Nichtbauzonen keine in der Praxis zum interzonalen Nutzungstransfer verpönte Situation einer unzulässigen Nutzungserhöhung stattfinden (BGE 119 Ia 122 E. 5). Im vorliegenden Fall wird zudem die Intensität der Nutzung durch Ausnützungsziffern bestimmt, weshalb Grenzabstände keine nutzungsbeschränkende Funktion haben. Im übrigen verbietet Art. 56 Abs. 2 BauG eine Verschiebung des Grenzabstands zulasten eines nicht der Bauzone zugehörigen Grundstücks nicht. Die Beschwerde erweist sich daher in diesem Punkt als unbegründet.</w:t>
      </w:r>
    </w:p>
    <w:p>
      <w:r>
        <w:rPr>
          <w:b/>
        </w:rPr>
        <w:t>E. 2.6</w:t>
      </w:r>
    </w:p>
    <w:p>
      <w:r>
        <w:t>Weiter bestreiten die Beschwerdeführer die hinreichende strassenmässige Erschliessung des Baugrundstücks. Nach Art. 49 Abs. 2 lit. a BauG ist Land erschlossen, wenn es über eine hinreichende Zu- und Wegfahrt verfügt.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und Sanität, Kehrichtabfuhr und Schneeräumung ungehindert benützt werden kann, und - wenn sie über fremdes Grundeigentum führt - rechtlich gesichert ist. Faktisch ist die Zufahrt vorhanden. Das Strässchen genügt nach den Feststellungen anlässlich des Augenscheins als Zufahrt für ein oder zwei Einfamilienhäuser. Auf solchen internen Grundstückserschliessungen bzw. Hauszufahrten müssen keine Kreuzungsmanöver möglich sein. Bei den konkreten Verhältnissen kann selbst von einer genügenden Erschliessung gesprochen werden, wenn bei gleichzeitigem Befahren der Zufahrt ein Fahrzeug wieder zurücksetzen muss, zumal dies im vorliegenden Fall ohne weiteres möglich ist. Ausserdem ist die Sch-strasse eine Einbahnstrasse, weshalb die Ein- und Ausfahrt weniger problematisch ist als bei einer Strasse mit Gegenverkehr. Für die Beanspruchung des Grundstücks Nr. XXXX besteht seit Jahrzehnten eine Grunddienstbarkeit. Dass der sog. Einmündungstrichter jüngeren Datums ist, begründet keine mangelhafte Erschliessung, zumal die Eigentümerin des belasteten Grundstücks die derzeitige bauliche Situation anerkannt. Die Rüge der ungenügenden Zufahrt erweist sich daher als unbegründet.</w:t>
      </w:r>
    </w:p>
    <w:p>
      <w:r>
        <w:rPr>
          <w:b/>
        </w:rPr>
        <w:t>E. 2.7</w:t>
      </w:r>
    </w:p>
    <w:p>
      <w:r>
        <w:t>Weiter beanstanden die Beschwerdeführer, dass die Anbaute nie visiert worden sei. Es gebe keine Visiere, die die Eckpunkte und Höhen der Anbaute im Nordwesten, Nordosten und Südosten zeigten, weder vor der Korrektureingabe noch nachher. Es werde mit Nachdruck verlangt, dass diese Visierung nachgeholt werde. Demgegenüber wenden die Beschwerdegegner ein, eine Projektänderung müsse grundsätzlich das ordentliche Baubewilligungsverfahren durchlaufen, es sei denn, die Voraussetzungen des einfachen Verfahrens oder des Meldeverfahrens seien erfüllt. Das vereinfachte Verfahren komme zur Anwendung, wenn die zu bewilligenden Bauten oder Anlagen keine oder nur die Interessen weniger Einspracheberechtigter berührten. Abgestellt werde nicht auf die Grösse oder Bedeutung des Bauvorhabens, sondern auf die Interessenlage. Fest steht, dass das Bauvorhaben an sich im ordentlichen Verfahren aufgelegt war. Bei geringfügigen Projektänderungen kann nach der Praxis das vereinfachte Baubewilligungsverfahren nach Art. 82bis Abs. 1 BauG zur Anwendung kommen. Dieses Verfahren greift Platz, wenn ein Vorhaben keine oder nur die Interessen weniger Einspracheberechtigter berührt. Werden im Rahmen eines Einspracheverfahrens geringfügige Änderungen an einem Projekt vorgenommen, welche nur die Interessen der Einsprecher berühren, so ist die Anwendung des vereinfachten Verfahrens gerechtfertigt. Dieses lässt den Verzicht auf die Visierung zu (Art. 82bis Abs. 2 BauG). Die Beschwerdeführer hatten von den Änderungen Kenntnis, und das Bauvorhaben war während der Augenscheine visiert. Die Rüge der ungenügenden Visierung geht daher fehl.</w:t>
      </w:r>
    </w:p>
    <w:p>
      <w:r>
        <w:rPr>
          <w:b/>
        </w:rPr>
        <w:t>E. 2.8</w:t>
      </w:r>
    </w:p>
    <w:p>
      <w:r>
        <w:t>Weiter machen die Beschwerdeführer geltend, der Garagenanbau an das bestehende Einfamilienhaus sei unzulässig. Das gewachsene Terrain liege bei der südwestlichen Ecke bei rund 601 m.ü.M. und bei der nordwestlichen Ecke bei rund 602 m.ü.M. Dem Baugesuch seien für die beiden Eckpunkte keine Angaben zur Höhenlage des gewachsenen Terrains zu entnehmen. Das im Plan dargestellte gewachsene Terrain in den Schnitten a-a und c-c entspreche dem heute bestehenden Terrainverlauf und nicht dem gewachsenen Terrain. Die Höhenangaben zum gewachsenen Terrain im Baugesuchsplan vom 8. Januar 2007 seien nicht massgebend, weil sie nur Aussagen an den Querschnitten a-a, b-b und z-z lieferten, nicht jedoch an bzw. entlang der Westfassade. Gemäss Art. 46 Abs. 1 BauR sei jedoch nur die Höhenlage an der Westfassade massgebend. Vergleiche man die Höhenkoten des gewachsenen Terrains gemäss Überbauungsplan und Beurteilung durch die Vorinstanz mit jenen der Oberkante der geplanten Garagenanbaute, so zeige sich, dass diese im Mittel der Westfassade rund 1,5 m über das gewachsene Terrain zu liegen kommen solle. Diese Überragung überschreite die zulässige Überragung von 0,7 m gemäss Art. 46 Abs. 1 BauR. Die geplante Garagenanbaute sei deshalb keine unterirdische im Sinn von Art. 56 Abs. 3 BauG. Sie verletze den Grenzabstand. Dagegen wenden die Beschwerdegegner ein, die Projektunterlagen wiesen in bezug auf die südwestliche Ecke der Garage das gewachsene Terrain mit 601,82 m.ü.M. und die nordwestliche Ecke mit 603,15 m.ü.M. aus. Diese Werte stimmten "in etwa" mit den Werten überein, wie sie sich bereits anhand des Überbauungsplans von 1949 zeigten. Wenn berücksichtigt werde, dass über 60 Jahre hinweg geringfügige natürliche Geländeveränderungen auftreten würden, so sei davon auszugehen, dass diese Werte den natürlichen Terrainverlauf widerspiegeln. Die Beschwerde sei daher unbegründet. Art. 46 Abs. 1 BR bestimmt, dass Bauten, die innerhalb des Grenzabstandsbereichs mit der gegen das Nachbargrundstück gerichteten Fassade im Mittel das gewachsene Terrain nicht mehr als 70 cm überragen, als unterirdisch im Sinn von Art. 56 Abs. 3 BauG gelten. In der geltenden Fassung des Baugesetzes regelt Art. 56 Abs. 4 BauG die unterirdischen Bauten. Massgebend ist nach Art. 46 Abs. 1 BR die gegen das Nachbargrundstück gerichtete Fassade, welche vorliegend die Westfassade des Garagenanbaus ist. Die Vorinstanz erwog, aus dem Überbauungsplan sei ersichtlich, dass das Terrain im Bereich der projektierten Garage leicht nach Südwesten geneigt gewesen sei, wobei die südwestliche Ecke "in etwa" auf die Höhe von rund 601 m.ü.M. und die nordwestliche Ecke auf rund 602 m.ü.M. zu liegen komme. Im fraglichen Gebiet besteht ein Überbauungsplan aus dem Jahr 1949. Ob die Vorinstanz auf diesen Bezug nahm oder auf die Planunterlagen zum Baugesuch, ist unklar. Der Überbauungsplan von 1949 befindet sich jedenfalls nicht in den Akten. Er wurde von der Vorinstanz und der Beschwerdebeteiligten als nicht anwendbar betrachtet. Solche Pläne werden durch den Zeitablauf indes nicht ungültig. Nach Art. 83 BR bleiben Überbauungs- und Gestaltungspläne, die vor dem Inkrafttreten des Reglements erlassen wurden, in Kraft. Vorbehalten bleibt die Überarbeitung und Anpassung an das neue Recht im Einzelfall. Auch das Baureglement von 1973 enthielt in Art. 144 eine entsprechende Bestimmung. Demgegenüber fand sich im Baureglement von 1956 keine entsprechende Übergangsbestimmung. Das Baudepartement hatte jedoch aufgrund eines Urteils des Bundesgerichts vom 21. Juni 2007 (1A.278/2006) und des Rückweisungsentscheids des Verwaltungsgerichts vom 29. August 2007 (B 2007/108) das Verhältnis zwischen dem Überbauungsplan B- Strasse-W-berg, Sch-berg vom 10. Dezember 1949 und dem geltenden Zonenplan zu prüfen. Darauf nehmen die Erwägungen der Baukommission und der Vorinstanz aber keinen Bezug. Falls der Überbauungsplan Vorschriften über Gebäudehöhen enthält, wie dies die Beschwerdegegner geltend machen, so wären diese bei der Feststellung und Beurteilung der Gebäudehöhe bzw. bei der Frage, ob der Anbau unterirdisch ist, zu berücksichtigen. Mangels gesicherter Angaben in den Akten kann diese Frage allerdings nicht entschieden werden. Da die Baubewilligung aus einem anderen Grund aufzuheben ist, kann von weiteren Abklärungen abgesehen werden.</w:t>
      </w:r>
    </w:p>
    <w:p>
      <w:r>
        <w:rPr>
          <w:b/>
        </w:rPr>
        <w:t>E. 2.9</w:t>
      </w:r>
    </w:p>
    <w:p>
      <w:r>
        <w:t>Zusammenfassend ergibt sich aus den vorstehenden Erwägungen, dass die Beschwerden gutzuheissen sind. Die angefochtenen Entscheide des Departements des Innern vom 24. Februar 2009 sowie der Entscheid der Baukommission vom 7./13. Dezember 2007 sind aufzuheben.</w:t>
      </w:r>
    </w:p>
    <w:p>
      <w:r>
        <w:rPr>
          <w:b/>
        </w:rPr>
        <w:t>E. 3</w:t>
      </w:r>
    </w:p>
    <w:p>
      <w:r>
        <w:t>Dem Verfahrensausgang entsprechend gehen die amtlichen Kosten des Beschwerdeverfahrens zulasten der Beschwerdegegner (Art. 95 Abs. 1 VRP). Eine Entscheidgebühr von Fr. 4'000.-- ist angemessen (Art. 13 Ziff. 622 Gerichtskostentarif, sGS 941.12). Die Beschwerdegegner haften solidarisch für den gesamten Betrag. Die Gebühr ist bei E. zu erheben. Der Kostenvorschuss von Fr. 4'000.-- ist den Beschwerdeführern zurückzuerstatten. Die amtlichen Kosten der Rekursverfahren von je Fr. 1'500.-- sind den Beschwerdegegnern aufzuerlegen (Art. 95 Abs. 1 VRP). Die Beschwerdegegner haben die Beschwerdeführer für das Beschwerdeverfahren ausseramtlich zu entschädigen (Art. 98 Abs. 1 und 2 VRP). Eine Entschädigung von Fr. 2'500.-- zuzügl. MWSt für das Beschwerdeverfahren erscheint angemessen (Art. 22 Abs. 1 lit. b der Honorarordnung für Rechtsanwälte und Rechtsagenten, sGS 963.75, abgekürzt HonO). Für das Rekursverfahren hat die Vorinstanz die Entschädigung auf Fr. 1'500.-- zuzügl. MWSt festgesetzt. Dies entspricht dem Tarif und ist angemessen (Art. 22 Abs. 1 lit. a HonO). Die Beschwerdeführer waren im Rekursverfahren nicht vom selben Rechtsanwalt vertreten. Daher ist A. einerseits sowie B. anderseits für das Rekursverfahren je eine Entschädigung von Fr. 1'500.-- zuzügl. MWSt zuzusprechen. Die Entschädigung geht zulasten der Beschwerdegegner. Diese haften solidarisch für den gesamten Betrag. Demnach hat das Verwaltungsgericht zu Recht erkannt: 1./ Die Beschwerden werden gutgeheissen, und der Entscheid der Baukommission vom 7./13. Dezember 2007 sowie die Entscheide des Departements des Innern vom 24. Februar 2009 werden aufgehoben. 2./ Die amtlichen Kosten des Beschwerdeverfahrens von Fr. 4'000.-- werden den Beschwerdegegnern auferlegt, unter solidarischer Haftbarkeit für den gesamten Betrag. Die Gebühr wird gesamthaft bei E. erhoben. Den Beschwerdeführern ist der geleistete Kostenvorschuss von Fr. 4'000.-- zurückzuerstatten. 3./ Die amtlichen Kosten der Rekursverfahren von je Fr. 1'500.-- werden den Beschwerdegegnern auferlegt. 4./ Die Beschwerdegegner haben die Beschwerdeführer für das Beschwerdeverfahren mit Fr. 2'500.-- zuzügl. MWSt zu entschädigen, unter solidarischer Haftbarkeit für den gesamten Betrag. 5./ Die Beschwerdegegner haben für das Rekursverfahren A. mit Fr. 1'500.-- zuzügl. MWSt sowie B. mit Fr. 1'500.-- zuzügl. MWSt ausseramtlich zu entschädigen, unter solidarischer Haftbarkeit für den gesamten Betrag. V.          R.           W. Der Präsident:                                                                 Der Gerichtsschreiber: Versand dieses Entscheides an: -   die Beschwerdeführer (durch Rechtsanwalt ..) -   die Vorinstanz -   die Beschwerdegegner (durch Rechtsanwalt ..)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